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58" w:rsidRDefault="00F14358" w:rsidP="00F14358">
      <w:pPr>
        <w:widowControl/>
        <w:spacing w:before="100" w:beforeAutospacing="1" w:after="100" w:afterAutospacing="1"/>
        <w:outlineLvl w:val="2"/>
        <w:rPr>
          <w:rFonts w:ascii="Arial" w:hAnsi="Arial" w:cs="Arial"/>
          <w:b/>
          <w:bCs/>
          <w:caps/>
          <w:snapToGrid/>
          <w:sz w:val="22"/>
          <w:szCs w:val="22"/>
        </w:rPr>
      </w:pPr>
      <w:bookmarkStart w:id="0" w:name="_GoBack"/>
      <w:bookmarkEnd w:id="0"/>
    </w:p>
    <w:p w:rsid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p>
    <w:p w:rsid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r w:rsidRPr="00F14358">
        <w:rPr>
          <w:rFonts w:ascii="Arial" w:hAnsi="Arial" w:cs="Arial"/>
          <w:b/>
          <w:bCs/>
          <w:caps/>
          <w:snapToGrid/>
          <w:sz w:val="36"/>
          <w:szCs w:val="22"/>
        </w:rPr>
        <w:t>Drift og vedligehold</w:t>
      </w:r>
    </w:p>
    <w:p w:rsidR="00F14358" w:rsidRP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snapToGrid/>
          <w:sz w:val="22"/>
          <w:szCs w:val="22"/>
        </w:rPr>
        <w:t>Ifølge BUR rapport om planlægning af driftvenligt byggeri, har pladebeklædte indervægge en levetid på 60 år. Knauf plader er nemme at male og tapetsere på. Næsten alle slags maling kan benyttes. Man kan tapetsere direkte på pladerne, men det må anbefales at grunde først.</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Grunding:</w:t>
      </w:r>
      <w:r w:rsidRPr="00F14358">
        <w:rPr>
          <w:rFonts w:ascii="Arial" w:hAnsi="Arial" w:cs="Arial"/>
          <w:snapToGrid/>
          <w:sz w:val="22"/>
          <w:szCs w:val="22"/>
        </w:rPr>
        <w:t xml:space="preserve"> Gipspladevægge som skal males eller tapetseres, grundes først med en plastgrunder (microdispers) eller en vandbaseret alkydgrunder. Bundbehandlingen er vigtig, hvis væggene senere skal afrenses og omtapetseres. For malede vægge nedsætter bundbehandlingen det øvrige malingsforbrug og udjævner forskellen mellem gipspladernes og spartlingens sugeevne.</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Malemetode:</w:t>
      </w:r>
      <w:r w:rsidRPr="00F14358">
        <w:rPr>
          <w:rFonts w:ascii="Arial" w:hAnsi="Arial" w:cs="Arial"/>
          <w:snapToGrid/>
          <w:sz w:val="22"/>
          <w:szCs w:val="22"/>
        </w:rPr>
        <w:t xml:space="preserve">Arbejdet kan udføres med alle gængse påføringsmetoder, pensler, rulle, sprøjtepistol osv. Malerfaglig Behandlings Katalog, MBK, som udgives af Dansk Teknologisk Institut, beskriver overfladebehandlinger ud fra forskellige funktionskrav. MBK anviser endvidre vedligeholdsmetoder i særskilt katalog, MBK-vedligehold. </w:t>
      </w:r>
      <w:hyperlink r:id="rId9" w:tgtFrame="_blank" w:history="1">
        <w:r w:rsidRPr="00F14358">
          <w:rPr>
            <w:rFonts w:ascii="Arial" w:hAnsi="Arial" w:cs="Arial"/>
            <w:snapToGrid/>
            <w:color w:val="0000FF"/>
            <w:sz w:val="22"/>
            <w:szCs w:val="22"/>
            <w:u w:val="single"/>
          </w:rPr>
          <w:t>Link til Teknologisk institut</w:t>
        </w:r>
      </w:hyperlink>
      <w:r w:rsidRPr="00F14358">
        <w:rPr>
          <w:rFonts w:ascii="Arial" w:hAnsi="Arial" w:cs="Arial"/>
          <w:snapToGrid/>
          <w:sz w:val="22"/>
          <w:szCs w:val="22"/>
        </w:rPr>
        <w:t xml:space="preserve"> </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Våde rum:</w:t>
      </w:r>
      <w:r w:rsidRPr="00F14358">
        <w:rPr>
          <w:rFonts w:ascii="Arial" w:hAnsi="Arial" w:cs="Arial"/>
          <w:snapToGrid/>
          <w:sz w:val="22"/>
          <w:szCs w:val="22"/>
        </w:rPr>
        <w:t xml:space="preserve"> Vådrummet skal ventileres og opvarmes. Det vandbelastede område bør aftøres efter hvert bad. Alle gennembrydninger i forbindelse med ophæng og lignende skal tætnes omhyggeligt. I brusenicher og andre steder, hvor direkte vandpåvirkning kan forekomme, må intet fastgøres i vægge, medmindre væggene er særligt forberedt.</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Rengøring:</w:t>
      </w:r>
      <w:r w:rsidRPr="00F14358">
        <w:rPr>
          <w:rFonts w:ascii="Arial" w:hAnsi="Arial" w:cs="Arial"/>
          <w:snapToGrid/>
          <w:sz w:val="22"/>
          <w:szCs w:val="22"/>
        </w:rPr>
        <w:t xml:space="preserve"> Der må ikke anvendes klorholdige midler eller sprit til rengøring. Fortyndet Rodalon eliminerer mikroorganismer og kan anvendes hyppigt.</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Genbehandling:</w:t>
      </w:r>
      <w:r w:rsidRPr="00F14358">
        <w:rPr>
          <w:rFonts w:ascii="Arial" w:hAnsi="Arial" w:cs="Arial"/>
          <w:snapToGrid/>
          <w:sz w:val="22"/>
          <w:szCs w:val="22"/>
        </w:rPr>
        <w:t xml:space="preserve"> Vandbelastede flader bør genbehandles ca. hvert fjerde år.</w:t>
      </w:r>
    </w:p>
    <w:p w:rsid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Vedligeholdelse af fuger:</w:t>
      </w:r>
      <w:r w:rsidRPr="00F14358">
        <w:rPr>
          <w:rFonts w:ascii="Arial" w:hAnsi="Arial" w:cs="Arial"/>
          <w:snapToGrid/>
          <w:sz w:val="22"/>
          <w:szCs w:val="22"/>
        </w:rPr>
        <w:t xml:space="preserve"> Afkalkning af synlige alkoholbaseret bygningssilikonefuger som Knauf fuge nr. 2 foretages med eddikevand, 1 del eddike til 20 dele vand. Fugen skal straks skylles med rigelige mængder vand efter afkalkning. Brug af skrappe rengøringsmidler bør undgås.</w:t>
      </w:r>
    </w:p>
    <w:p w:rsidR="00F14358" w:rsidRPr="00F14358" w:rsidRDefault="00F14358" w:rsidP="00FA5DE3">
      <w:pPr>
        <w:widowControl/>
        <w:pBdr>
          <w:bottom w:val="single" w:sz="4" w:space="1" w:color="auto"/>
        </w:pBdr>
        <w:spacing w:before="100" w:beforeAutospacing="1" w:after="100" w:afterAutospacing="1" w:line="360" w:lineRule="auto"/>
        <w:rPr>
          <w:rFonts w:ascii="Arial" w:hAnsi="Arial" w:cs="Arial"/>
          <w:snapToGrid/>
          <w:sz w:val="22"/>
          <w:szCs w:val="22"/>
        </w:rPr>
      </w:pPr>
    </w:p>
    <w:p w:rsidR="00F14358" w:rsidRDefault="00F14358" w:rsidP="00FA5DE3">
      <w:pPr>
        <w:widowControl/>
        <w:spacing w:before="100" w:beforeAutospacing="1" w:after="100" w:afterAutospacing="1" w:line="360" w:lineRule="auto"/>
        <w:rPr>
          <w:rFonts w:ascii="Arial" w:hAnsi="Arial" w:cs="Arial"/>
          <w:b/>
          <w:bCs/>
          <w:caps/>
          <w:snapToGrid/>
          <w:sz w:val="28"/>
          <w:szCs w:val="22"/>
        </w:rPr>
      </w:pPr>
    </w:p>
    <w:p w:rsidR="00FA5DE3" w:rsidRDefault="00FA5DE3" w:rsidP="00FA5DE3">
      <w:pPr>
        <w:widowControl/>
        <w:spacing w:before="100" w:beforeAutospacing="1" w:after="100" w:afterAutospacing="1" w:line="360" w:lineRule="auto"/>
        <w:rPr>
          <w:rFonts w:ascii="Arial" w:hAnsi="Arial" w:cs="Arial"/>
          <w:b/>
          <w:bCs/>
          <w:caps/>
          <w:snapToGrid/>
          <w:sz w:val="28"/>
          <w:szCs w:val="22"/>
        </w:rPr>
      </w:pPr>
    </w:p>
    <w:p w:rsidR="00FA5DE3" w:rsidRDefault="00FA5DE3" w:rsidP="00FA5DE3">
      <w:pPr>
        <w:widowControl/>
        <w:spacing w:before="100" w:beforeAutospacing="1" w:after="100" w:afterAutospacing="1" w:line="360" w:lineRule="auto"/>
        <w:rPr>
          <w:rFonts w:ascii="Arial" w:hAnsi="Arial" w:cs="Arial"/>
          <w:b/>
          <w:bCs/>
          <w:caps/>
          <w:snapToGrid/>
          <w:sz w:val="28"/>
          <w:szCs w:val="22"/>
        </w:rPr>
      </w:pPr>
    </w:p>
    <w:p w:rsidR="00FA5DE3" w:rsidRDefault="00FA5DE3" w:rsidP="00FA5DE3">
      <w:pPr>
        <w:widowControl/>
        <w:spacing w:before="100" w:beforeAutospacing="1" w:after="100" w:afterAutospacing="1" w:line="360" w:lineRule="auto"/>
        <w:outlineLvl w:val="2"/>
        <w:rPr>
          <w:rFonts w:ascii="Arial" w:hAnsi="Arial" w:cs="Arial"/>
          <w:b/>
          <w:bCs/>
          <w:caps/>
          <w:snapToGrid/>
          <w:sz w:val="36"/>
          <w:szCs w:val="22"/>
        </w:rPr>
      </w:pPr>
    </w:p>
    <w:p w:rsid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r w:rsidRPr="00FA5DE3">
        <w:rPr>
          <w:rFonts w:ascii="Arial" w:hAnsi="Arial" w:cs="Arial"/>
          <w:b/>
          <w:bCs/>
          <w:caps/>
          <w:snapToGrid/>
          <w:sz w:val="36"/>
          <w:szCs w:val="22"/>
        </w:rPr>
        <w:t>Inspektionslemme</w:t>
      </w:r>
    </w:p>
    <w:p w:rsidR="00FA5DE3" w:rsidRDefault="00FA5DE3" w:rsidP="00FA5DE3">
      <w:pPr>
        <w:pStyle w:val="NormalWeb"/>
        <w:spacing w:line="360" w:lineRule="auto"/>
        <w:rPr>
          <w:rFonts w:ascii="Arial" w:hAnsi="Arial" w:cs="Arial"/>
          <w:sz w:val="22"/>
          <w:szCs w:val="22"/>
        </w:rPr>
      </w:pP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Både vores Clips on og Push Up inspektionslemme er forsynet med bevægelige dele. Derfor anbefaler vi, at disse smøres fra tid til anden. Såfremt lnspektionslemmen er forsynet med en lås, henvises til fabrikant af denne for oplysninger om vedligeholdelse.</w:t>
      </w: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Evt. skader på inspektionslemmenes lakerede overflader kan udbedres ved en affedtning og efterfølgende maling med akryllak. Undgå affedtning af flader, der ikke skal males, da der kan opstå glansforskelle.</w:t>
      </w: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 xml:space="preserve">Push up'ens spartlede og malede overflade vedligeholdes iht. </w:t>
      </w:r>
      <w:hyperlink r:id="rId10" w:tgtFrame="_blank" w:history="1">
        <w:r w:rsidRPr="00F14358">
          <w:rPr>
            <w:rStyle w:val="Hyperlink"/>
            <w:rFonts w:ascii="Arial" w:hAnsi="Arial" w:cs="Arial"/>
            <w:sz w:val="22"/>
            <w:szCs w:val="22"/>
          </w:rPr>
          <w:t>MBK-kataloget</w:t>
        </w:r>
      </w:hyperlink>
      <w:r w:rsidRPr="00F14358">
        <w:rPr>
          <w:rFonts w:ascii="Arial" w:hAnsi="Arial" w:cs="Arial"/>
          <w:sz w:val="22"/>
          <w:szCs w:val="22"/>
        </w:rPr>
        <w:t xml:space="preserve"> , som almindelige gipsoverflader.</w:t>
      </w: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Både Clips on og Push inspektionslemme kan efter behov rengøres med en blød kost, klud e.l. eller alternativt støvsuges med et blødt mundstykke.</w:t>
      </w:r>
    </w:p>
    <w:p w:rsid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Almindelig rengøring af inspektionslemmene foretages med en fugtig klud og almindeligt mildt rengøringsmiddel</w:t>
      </w:r>
    </w:p>
    <w:p w:rsidR="00F14358" w:rsidRDefault="00F14358" w:rsidP="00FA5DE3">
      <w:pPr>
        <w:pStyle w:val="NormalWeb"/>
        <w:spacing w:line="360" w:lineRule="auto"/>
        <w:rPr>
          <w:rFonts w:ascii="Arial" w:hAnsi="Arial" w:cs="Arial"/>
          <w:sz w:val="22"/>
          <w:szCs w:val="22"/>
        </w:rPr>
      </w:pPr>
    </w:p>
    <w:p w:rsidR="00F14358" w:rsidRDefault="00F14358" w:rsidP="00FA5DE3">
      <w:pPr>
        <w:pStyle w:val="NormalWeb"/>
        <w:spacing w:line="360" w:lineRule="auto"/>
        <w:rPr>
          <w:rFonts w:ascii="Arial" w:hAnsi="Arial" w:cs="Arial"/>
          <w:sz w:val="22"/>
          <w:szCs w:val="22"/>
        </w:rPr>
      </w:pPr>
    </w:p>
    <w:p w:rsidR="00F14358" w:rsidRPr="00F14358" w:rsidRDefault="00F14358" w:rsidP="00FA5DE3">
      <w:pPr>
        <w:pStyle w:val="NormalWeb"/>
        <w:pBdr>
          <w:bottom w:val="single" w:sz="4" w:space="1" w:color="auto"/>
        </w:pBdr>
        <w:spacing w:line="360" w:lineRule="auto"/>
        <w:rPr>
          <w:rFonts w:ascii="Arial" w:hAnsi="Arial" w:cs="Arial"/>
          <w:sz w:val="22"/>
          <w:szCs w:val="22"/>
        </w:rPr>
      </w:pPr>
    </w:p>
    <w:p w:rsidR="007B6483" w:rsidRDefault="007B6483"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82"/>
        <w:gridCol w:w="80"/>
        <w:gridCol w:w="80"/>
        <w:gridCol w:w="80"/>
        <w:gridCol w:w="80"/>
        <w:gridCol w:w="80"/>
        <w:gridCol w:w="80"/>
        <w:gridCol w:w="95"/>
      </w:tblGrid>
      <w:tr w:rsidR="00F14358" w:rsidRPr="00F14358" w:rsidTr="00F14358">
        <w:trPr>
          <w:tblCellSpacing w:w="15" w:type="dxa"/>
        </w:trPr>
        <w:tc>
          <w:tcPr>
            <w:tcW w:w="0" w:type="auto"/>
            <w:gridSpan w:val="8"/>
            <w:vAlign w:val="center"/>
          </w:tcPr>
          <w:p w:rsidR="00F14358" w:rsidRPr="00FA5DE3" w:rsidRDefault="00F14358" w:rsidP="00F14358">
            <w:pPr>
              <w:widowControl/>
              <w:spacing w:before="100" w:beforeAutospacing="1" w:after="100" w:afterAutospacing="1"/>
              <w:rPr>
                <w:rFonts w:ascii="Arial" w:hAnsi="Arial" w:cs="Arial"/>
                <w:b/>
                <w:bCs/>
                <w:caps/>
                <w:snapToGrid/>
                <w:sz w:val="36"/>
                <w:szCs w:val="22"/>
              </w:rPr>
            </w:pPr>
            <w:r w:rsidRPr="00FA5DE3">
              <w:rPr>
                <w:rFonts w:ascii="Arial" w:hAnsi="Arial" w:cs="Arial"/>
                <w:b/>
                <w:bCs/>
                <w:caps/>
                <w:snapToGrid/>
                <w:sz w:val="36"/>
                <w:szCs w:val="22"/>
              </w:rPr>
              <w:t>Ophængning i gipsplader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0"/>
              <w:gridCol w:w="1753"/>
              <w:gridCol w:w="859"/>
              <w:gridCol w:w="859"/>
              <w:gridCol w:w="859"/>
              <w:gridCol w:w="859"/>
              <w:gridCol w:w="857"/>
              <w:gridCol w:w="1045"/>
            </w:tblGrid>
            <w:tr w:rsidR="00F14358" w:rsidRPr="00F14358" w:rsidTr="00FA5DE3">
              <w:trPr>
                <w:tblHeade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pStyle w:val="Overskrift5"/>
                    <w:jc w:val="center"/>
                    <w:rPr>
                      <w:rFonts w:ascii="Arial" w:hAnsi="Arial" w:cs="Arial"/>
                      <w:sz w:val="20"/>
                      <w:szCs w:val="22"/>
                    </w:rPr>
                  </w:pPr>
                  <w:r w:rsidRPr="00F14358">
                    <w:rPr>
                      <w:rFonts w:ascii="Arial" w:hAnsi="Arial" w:cs="Arial"/>
                      <w:sz w:val="20"/>
                      <w:szCs w:val="22"/>
                    </w:rPr>
                    <w:t>Dybeltype</w:t>
                  </w:r>
                  <w:r w:rsidRPr="00F14358">
                    <w:rPr>
                      <w:rFonts w:ascii="Arial" w:hAnsi="Arial" w:cs="Arial"/>
                      <w:sz w:val="20"/>
                      <w:szCs w:val="22"/>
                    </w:rPr>
                    <w:br/>
                    <w:t>Belastningsretning</w:t>
                  </w:r>
                  <w:r w:rsidRPr="00F14358">
                    <w:rPr>
                      <w:rFonts w:ascii="Arial" w:hAnsi="Arial" w:cs="Arial"/>
                      <w:sz w:val="20"/>
                      <w:szCs w:val="22"/>
                    </w:rPr>
                    <w:br/>
                    <w:t>Konstruktion</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b/>
                      <w:bCs/>
                      <w:sz w:val="20"/>
                      <w:szCs w:val="22"/>
                    </w:rPr>
                  </w:pPr>
                </w:p>
              </w:tc>
              <w:tc>
                <w:tcPr>
                  <w:tcW w:w="0" w:type="auto"/>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b/>
                      <w:bCs/>
                      <w:sz w:val="20"/>
                      <w:szCs w:val="22"/>
                    </w:rPr>
                  </w:pPr>
                  <w:r w:rsidRPr="00F14358">
                    <w:rPr>
                      <w:rFonts w:ascii="Arial" w:hAnsi="Arial" w:cs="Arial"/>
                      <w:b/>
                      <w:bCs/>
                      <w:sz w:val="20"/>
                      <w:szCs w:val="22"/>
                    </w:rPr>
                    <w:t xml:space="preserve">Let Rosett </w:t>
                  </w:r>
                </w:p>
              </w:tc>
              <w:tc>
                <w:tcPr>
                  <w:tcW w:w="0" w:type="auto"/>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b/>
                      <w:bCs/>
                      <w:sz w:val="20"/>
                      <w:szCs w:val="22"/>
                    </w:rPr>
                  </w:pPr>
                  <w:r w:rsidRPr="00F14358">
                    <w:rPr>
                      <w:rFonts w:ascii="Arial" w:hAnsi="Arial" w:cs="Arial"/>
                      <w:b/>
                      <w:bCs/>
                      <w:sz w:val="20"/>
                      <w:szCs w:val="22"/>
                    </w:rPr>
                    <w:t>Rosett</w:t>
                  </w:r>
                  <w:r w:rsidRPr="00F14358">
                    <w:rPr>
                      <w:rFonts w:ascii="Arial" w:hAnsi="Arial" w:cs="Arial"/>
                      <w:b/>
                      <w:bCs/>
                      <w:sz w:val="20"/>
                      <w:szCs w:val="22"/>
                      <w:vertAlign w:val="superscript"/>
                    </w:rPr>
                    <w:t>1)</w:t>
                  </w:r>
                  <w:r w:rsidRPr="00F14358">
                    <w:rPr>
                      <w:rFonts w:ascii="Arial" w:hAnsi="Arial" w:cs="Arial"/>
                      <w:b/>
                      <w:bCs/>
                      <w:sz w:val="20"/>
                      <w:szCs w:val="22"/>
                    </w:rPr>
                    <w:t xml:space="preserve"> </w:t>
                  </w:r>
                </w:p>
              </w:tc>
            </w:tr>
            <w:tr w:rsidR="00F14358" w:rsidRPr="00F14358" w:rsidTr="00FA5DE3">
              <w:trPr>
                <w:tblCellSpacing w:w="15" w:type="dxa"/>
              </w:trPr>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noProof/>
                      <w:snapToGrid/>
                      <w:sz w:val="20"/>
                      <w:szCs w:val="22"/>
                    </w:rPr>
                    <w:drawing>
                      <wp:inline distT="0" distB="0" distL="0" distR="0" wp14:anchorId="377E75FA" wp14:editId="0980CDD7">
                        <wp:extent cx="600075" cy="600075"/>
                        <wp:effectExtent l="0" t="0" r="9525" b="9525"/>
                        <wp:docPr id="17" name="Billede 17" descr="http://www.knauf.dk/cutout/cutout_436987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nauf.dk/cutout/cutout_436987_icon_pictogram_70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rPr>
                      <w:rFonts w:ascii="Arial" w:hAnsi="Arial" w:cs="Arial"/>
                      <w:sz w:val="20"/>
                      <w:szCs w:val="22"/>
                    </w:rPr>
                  </w:pPr>
                </w:p>
              </w:tc>
              <w:tc>
                <w:tcPr>
                  <w:tcW w:w="0" w:type="auto"/>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2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Rød </w:t>
                  </w:r>
                </w:p>
              </w:tc>
              <w:tc>
                <w:tcPr>
                  <w:tcW w:w="0" w:type="auto"/>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2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Blå </w:t>
                  </w:r>
                </w:p>
              </w:tc>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Blå </w:t>
                  </w:r>
                </w:p>
              </w:tc>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Rød </w:t>
                  </w:r>
                </w:p>
              </w:tc>
            </w:tr>
            <w:tr w:rsidR="00F14358" w:rsidRPr="00F14358" w:rsidTr="00F14358">
              <w:trPr>
                <w:tblCellSpacing w:w="15" w:type="dxa"/>
              </w:trPr>
              <w:tc>
                <w:tcPr>
                  <w:tcW w:w="0" w:type="auto"/>
                  <w:vMerge/>
                  <w:shd w:val="pct10" w:color="auto" w:fill="auto"/>
                  <w:vAlign w:val="center"/>
                  <w:hideMark/>
                </w:tcPr>
                <w:p w:rsidR="00F14358" w:rsidRPr="00F14358" w:rsidRDefault="00F14358">
                  <w:pPr>
                    <w:rPr>
                      <w:rFonts w:ascii="Arial" w:hAnsi="Arial" w:cs="Arial"/>
                      <w:sz w:val="20"/>
                      <w:szCs w:val="22"/>
                    </w:rPr>
                  </w:pPr>
                </w:p>
              </w:tc>
              <w:tc>
                <w:tcPr>
                  <w:tcW w:w="0" w:type="auto"/>
                  <w:vMerge/>
                  <w:shd w:val="pct10" w:color="auto" w:fill="auto"/>
                  <w:vAlign w:val="center"/>
                  <w:hideMark/>
                </w:tcPr>
                <w:p w:rsidR="00F14358" w:rsidRPr="00F14358" w:rsidRDefault="00F14358">
                  <w:pPr>
                    <w:rPr>
                      <w:rFonts w:ascii="Arial" w:hAnsi="Arial" w:cs="Arial"/>
                      <w:sz w:val="20"/>
                      <w:szCs w:val="22"/>
                    </w:rPr>
                  </w:pP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635 </w:t>
                  </w: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650 </w:t>
                  </w: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845 </w:t>
                  </w: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855 </w:t>
                  </w:r>
                </w:p>
              </w:tc>
              <w:tc>
                <w:tcPr>
                  <w:tcW w:w="0" w:type="auto"/>
                  <w:vMerge/>
                  <w:shd w:val="pct10" w:color="auto" w:fill="auto"/>
                  <w:vAlign w:val="center"/>
                  <w:hideMark/>
                </w:tcPr>
                <w:p w:rsidR="00F14358" w:rsidRPr="00F14358" w:rsidRDefault="00F14358">
                  <w:pPr>
                    <w:rPr>
                      <w:rFonts w:ascii="Arial" w:hAnsi="Arial" w:cs="Arial"/>
                      <w:sz w:val="20"/>
                      <w:szCs w:val="22"/>
                    </w:rPr>
                  </w:pPr>
                </w:p>
              </w:tc>
              <w:tc>
                <w:tcPr>
                  <w:tcW w:w="0" w:type="auto"/>
                  <w:vMerge/>
                  <w:shd w:val="pct10" w:color="auto" w:fill="auto"/>
                  <w:vAlign w:val="center"/>
                  <w:hideMark/>
                </w:tcPr>
                <w:p w:rsidR="00F14358" w:rsidRPr="00F14358" w:rsidRDefault="00F14358">
                  <w:pPr>
                    <w:rPr>
                      <w:rFonts w:ascii="Arial" w:hAnsi="Arial" w:cs="Arial"/>
                      <w:sz w:val="20"/>
                      <w:szCs w:val="22"/>
                    </w:rPr>
                  </w:pPr>
                </w:p>
              </w:tc>
            </w:tr>
            <w:tr w:rsidR="00F14358" w:rsidRPr="00F14358" w:rsidTr="00D55BDF">
              <w:trPr>
                <w:trHeight w:val="346"/>
                <w:tblCellSpacing w:w="15" w:type="dxa"/>
              </w:trPr>
              <w:tc>
                <w:tcPr>
                  <w:tcW w:w="0" w:type="auto"/>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pStyle w:val="Overskrift4"/>
                    <w:rPr>
                      <w:rFonts w:ascii="Arial" w:hAnsi="Arial" w:cs="Arial"/>
                      <w:sz w:val="20"/>
                      <w:szCs w:val="22"/>
                    </w:rPr>
                  </w:pPr>
                  <w:r w:rsidRPr="00F14358">
                    <w:rPr>
                      <w:rFonts w:ascii="Arial" w:hAnsi="Arial" w:cs="Arial"/>
                      <w:sz w:val="20"/>
                      <w:szCs w:val="22"/>
                    </w:rPr>
                    <w:t>Belastning vinkelret på gipspladen</w:t>
                  </w:r>
                </w:p>
              </w:tc>
            </w:tr>
            <w:tr w:rsidR="00F14358" w:rsidRPr="00F14358" w:rsidTr="00D55BDF">
              <w:trPr>
                <w:trHeight w:val="923"/>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2D6578AA" wp14:editId="28D2D725">
                        <wp:extent cx="666750" cy="666750"/>
                        <wp:effectExtent l="0" t="0" r="0" b="0"/>
                        <wp:docPr id="16" name="Billede 16" descr="http://www.knauf.dk/cutout/cutout_469964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nauf.dk/cutout/cutout_469964_icon_pictogram_70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38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rHeight w:val="953"/>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2 x 12,5 mm gipsplader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3B94618F" wp14:editId="466F90DA">
                        <wp:extent cx="666750" cy="666750"/>
                        <wp:effectExtent l="0" t="0" r="0" b="0"/>
                        <wp:docPr id="15" name="Billede 15" descr="http://www.knauf.dk/cutout/cutout_469966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nauf.dk/cutout/cutout_469966_icon_pictogram_70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70 kg </w:t>
                  </w:r>
                </w:p>
              </w:tc>
            </w:tr>
            <w:tr w:rsidR="00F14358" w:rsidRPr="00F14358" w:rsidTr="00D55BDF">
              <w:trPr>
                <w:trHeight w:val="827"/>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4114D63C" wp14:editId="576B89DF">
                        <wp:extent cx="666750" cy="666750"/>
                        <wp:effectExtent l="0" t="0" r="0" b="0"/>
                        <wp:docPr id="14" name="Billede 14" descr="http://www.knauf.dk/cutout/cutout_469967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nauf.dk/cutout/cutout_469967_icon_pictogram_70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33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37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2 x 12,5 mm gipsplader</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53951431" wp14:editId="19347006">
                        <wp:extent cx="666750" cy="666750"/>
                        <wp:effectExtent l="0" t="0" r="0" b="0"/>
                        <wp:docPr id="13" name="Billede 13" descr="http://www.knauf.dk/cutout/cutout_469968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nauf.dk/cutout/cutout_469968_icon_pictogram_70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41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85 kg </w:t>
                  </w:r>
                </w:p>
              </w:tc>
            </w:tr>
            <w:tr w:rsidR="00F14358" w:rsidRPr="00F14358" w:rsidTr="00D55BDF">
              <w:trPr>
                <w:tblCellSpacing w:w="15" w:type="dxa"/>
              </w:trPr>
              <w:tc>
                <w:tcPr>
                  <w:tcW w:w="0" w:type="auto"/>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pStyle w:val="Overskrift4"/>
                    <w:rPr>
                      <w:rFonts w:ascii="Arial" w:hAnsi="Arial" w:cs="Arial"/>
                      <w:sz w:val="20"/>
                      <w:szCs w:val="22"/>
                    </w:rPr>
                  </w:pPr>
                  <w:r w:rsidRPr="00F14358">
                    <w:rPr>
                      <w:rFonts w:ascii="Arial" w:hAnsi="Arial" w:cs="Arial"/>
                      <w:sz w:val="20"/>
                      <w:szCs w:val="22"/>
                    </w:rPr>
                    <w:t>Belastning parallelt på gipsplade</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0BBA4FF4" wp14:editId="0599F8D8">
                        <wp:extent cx="666750" cy="666750"/>
                        <wp:effectExtent l="0" t="0" r="0" b="0"/>
                        <wp:docPr id="12" name="Billede 12" descr="http://www.knauf.dk/cutout/cutout_469969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nauf.dk/cutout/cutout_469969_icon_pictogram_70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50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2 x 12,5 mm gipsplader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7EEC2898" wp14:editId="44DE3CEA">
                        <wp:extent cx="666750" cy="666750"/>
                        <wp:effectExtent l="0" t="0" r="0" b="0"/>
                        <wp:docPr id="11" name="Billede 11" descr="http://www.knauf.dk/cutout/cutout_469970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knauf.dk/cutout/cutout_469970_icon_pictogram_70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85 kg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1CD3B3DA" wp14:editId="00A779AE">
                        <wp:extent cx="666750" cy="666750"/>
                        <wp:effectExtent l="0" t="0" r="0" b="0"/>
                        <wp:docPr id="10" name="Billede 10" descr="http://www.knauf.dk/cutout/cutout_469971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nauf.dk/cutout/cutout_469971_icon_pictogram_70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42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47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98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2 x 12,5 mm gipsplader</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33F3C6A1" wp14:editId="2A17CDBB">
                        <wp:extent cx="666750" cy="666750"/>
                        <wp:effectExtent l="0" t="0" r="0" b="0"/>
                        <wp:docPr id="9" name="Billede 9" descr="http://www.knauf.dk/cutout/cutout_469972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nauf.dk/cutout/cutout_469972_icon_pictogram_70_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51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82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115 kg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Metalbor mm</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6E3C4999" wp14:editId="19E05FCB">
                        <wp:extent cx="666750" cy="323850"/>
                        <wp:effectExtent l="0" t="0" r="0" b="0"/>
                        <wp:docPr id="8" name="Billede 8" descr="http://www.knauf.dk/cutout/cutout_469965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nauf.dk/cutout/cutout_469965_icon_pictogram_70_1.jpg"/>
                                <pic:cNvPicPr>
                                  <a:picLocks noChangeAspect="1" noChangeArrowheads="1"/>
                                </pic:cNvPicPr>
                              </pic:nvPicPr>
                              <pic:blipFill rotWithShape="1">
                                <a:blip r:embed="rId20">
                                  <a:extLst>
                                    <a:ext uri="{28A0092B-C50C-407E-A947-70E740481C1C}">
                                      <a14:useLocalDpi xmlns:a14="http://schemas.microsoft.com/office/drawing/2010/main" val="0"/>
                                    </a:ext>
                                  </a:extLst>
                                </a:blip>
                                <a:srcRect t="25714" b="25715"/>
                                <a:stretch/>
                              </pic:blipFill>
                              <pic:spPr bwMode="auto">
                                <a:xfrm>
                                  <a:off x="0" y="0"/>
                                  <a:ext cx="666750" cy="323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10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10 </w:t>
                  </w:r>
                </w:p>
              </w:tc>
            </w:tr>
            <w:tr w:rsidR="00F14358" w:rsidRPr="00F14358" w:rsidTr="00F14358">
              <w:trPr>
                <w:tblCellSpacing w:w="15" w:type="dxa"/>
              </w:trPr>
              <w:tc>
                <w:tcPr>
                  <w:tcW w:w="0" w:type="auto"/>
                  <w:gridSpan w:val="8"/>
                  <w:vAlign w:val="center"/>
                  <w:hideMark/>
                </w:tcPr>
                <w:p w:rsidR="00F14358" w:rsidRPr="00F14358" w:rsidRDefault="00F14358">
                  <w:pPr>
                    <w:rPr>
                      <w:rFonts w:ascii="Arial" w:hAnsi="Arial" w:cs="Arial"/>
                      <w:sz w:val="20"/>
                      <w:szCs w:val="22"/>
                    </w:rPr>
                  </w:pPr>
                  <w:r w:rsidRPr="00F14358">
                    <w:rPr>
                      <w:rFonts w:ascii="Arial" w:hAnsi="Arial" w:cs="Arial"/>
                      <w:i/>
                      <w:iCs/>
                      <w:sz w:val="20"/>
                      <w:szCs w:val="22"/>
                      <w:vertAlign w:val="superscript"/>
                    </w:rPr>
                    <w:t>1)</w:t>
                  </w:r>
                  <w:r w:rsidRPr="00F14358">
                    <w:rPr>
                      <w:rFonts w:ascii="Arial" w:hAnsi="Arial" w:cs="Arial"/>
                      <w:i/>
                      <w:iCs/>
                      <w:sz w:val="20"/>
                      <w:szCs w:val="22"/>
                    </w:rPr>
                    <w:t xml:space="preserve"> Værdier gælder kun for Pan og UHJ skruer. Ved kroge og øjer er værdierne 20 kg for træk og 35 kg for tværbelastning.</w:t>
                  </w:r>
                  <w:r w:rsidRPr="00F14358">
                    <w:rPr>
                      <w:rFonts w:ascii="Arial" w:hAnsi="Arial" w:cs="Arial"/>
                      <w:i/>
                      <w:iCs/>
                      <w:sz w:val="20"/>
                      <w:szCs w:val="22"/>
                    </w:rPr>
                    <w:br/>
                  </w:r>
                  <w:r w:rsidRPr="00F14358">
                    <w:rPr>
                      <w:rFonts w:ascii="Arial" w:hAnsi="Arial" w:cs="Arial"/>
                      <w:i/>
                      <w:iCs/>
                      <w:sz w:val="20"/>
                      <w:szCs w:val="22"/>
                      <w:vertAlign w:val="superscript"/>
                    </w:rPr>
                    <w:t xml:space="preserve">2) </w:t>
                  </w:r>
                  <w:r w:rsidRPr="00F14358">
                    <w:rPr>
                      <w:rFonts w:ascii="Arial" w:hAnsi="Arial" w:cs="Arial"/>
                      <w:i/>
                      <w:iCs/>
                      <w:sz w:val="20"/>
                      <w:szCs w:val="22"/>
                    </w:rPr>
                    <w:t>Ved dybler gennem stålprofiler anvendes et bor med en diameter 0,5 mm større.</w:t>
                  </w:r>
                  <w:r w:rsidRPr="00F14358">
                    <w:rPr>
                      <w:rFonts w:ascii="Arial" w:hAnsi="Arial" w:cs="Arial"/>
                      <w:sz w:val="20"/>
                      <w:szCs w:val="22"/>
                    </w:rPr>
                    <w:t xml:space="preserve"> </w:t>
                  </w:r>
                </w:p>
              </w:tc>
            </w:tr>
          </w:tbl>
          <w:p w:rsidR="00F14358" w:rsidRPr="00F14358" w:rsidRDefault="00F14358">
            <w:pPr>
              <w:pStyle w:val="Overskrift4"/>
              <w:rPr>
                <w:rFonts w:ascii="Arial" w:hAnsi="Arial" w:cs="Arial"/>
                <w:sz w:val="20"/>
                <w:szCs w:val="22"/>
              </w:rPr>
            </w:pPr>
          </w:p>
        </w:tc>
      </w:tr>
      <w:tr w:rsidR="00FA5DE3" w:rsidRPr="00F14358" w:rsidTr="00FA5DE3">
        <w:trPr>
          <w:trHeight w:val="462"/>
          <w:tblCellSpacing w:w="15" w:type="dxa"/>
        </w:trPr>
        <w:tc>
          <w:tcPr>
            <w:tcW w:w="0" w:type="auto"/>
            <w:vAlign w:val="center"/>
          </w:tcPr>
          <w:p w:rsidR="00F14358" w:rsidRDefault="00F14358">
            <w:pPr>
              <w:rPr>
                <w:rFonts w:ascii="Arial" w:hAnsi="Arial" w:cs="Arial"/>
                <w:sz w:val="20"/>
                <w:szCs w:val="22"/>
              </w:rPr>
            </w:pPr>
          </w:p>
          <w:p w:rsidR="00FA5DE3" w:rsidRDefault="00FA5DE3">
            <w:pPr>
              <w:rPr>
                <w:rFonts w:ascii="Arial" w:hAnsi="Arial" w:cs="Arial"/>
                <w:sz w:val="20"/>
                <w:szCs w:val="22"/>
              </w:rPr>
            </w:pPr>
          </w:p>
          <w:p w:rsidR="00FA5DE3" w:rsidRPr="00FA5DE3" w:rsidRDefault="00FA5DE3" w:rsidP="00FA5DE3">
            <w:pPr>
              <w:widowControl/>
              <w:spacing w:before="100" w:beforeAutospacing="1" w:after="100" w:afterAutospacing="1"/>
              <w:rPr>
                <w:rFonts w:ascii="Arial" w:hAnsi="Arial" w:cs="Arial"/>
                <w:b/>
                <w:bCs/>
                <w:caps/>
                <w:snapToGrid/>
                <w:sz w:val="36"/>
                <w:szCs w:val="22"/>
              </w:rPr>
            </w:pPr>
            <w:r>
              <w:rPr>
                <w:rFonts w:ascii="Arial" w:hAnsi="Arial" w:cs="Arial"/>
                <w:b/>
                <w:bCs/>
                <w:caps/>
                <w:snapToGrid/>
                <w:sz w:val="36"/>
                <w:szCs w:val="22"/>
              </w:rPr>
              <w:t>RELEVANTE DOWNLOADS PÅ KNAUF.DK</w:t>
            </w:r>
          </w:p>
          <w:p w:rsidR="00FA5DE3" w:rsidRPr="00F14358" w:rsidRDefault="00FA5DE3">
            <w:pPr>
              <w:rPr>
                <w:rFonts w:ascii="Arial" w:hAnsi="Arial" w:cs="Arial"/>
                <w:sz w:val="20"/>
                <w:szCs w:val="22"/>
              </w:rPr>
            </w:pPr>
          </w:p>
        </w:tc>
        <w:tc>
          <w:tcPr>
            <w:tcW w:w="0" w:type="auto"/>
            <w:vAlign w:val="center"/>
          </w:tcPr>
          <w:p w:rsidR="00F14358" w:rsidRPr="00F14358" w:rsidRDefault="00F14358">
            <w:pP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rsidP="00D55BDF">
            <w:pP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r>
    </w:tbl>
    <w:p w:rsidR="00F14358" w:rsidRDefault="00C143E7" w:rsidP="00F14358">
      <w:pPr>
        <w:rPr>
          <w:rFonts w:ascii="Arial" w:hAnsi="Arial" w:cs="Arial"/>
          <w:sz w:val="20"/>
          <w:szCs w:val="22"/>
        </w:rPr>
      </w:pPr>
      <w:r w:rsidRPr="00C143E7">
        <w:rPr>
          <w:rFonts w:ascii="Arial" w:hAnsi="Arial" w:cs="Arial"/>
          <w:noProof/>
          <w:sz w:val="20"/>
          <w:szCs w:val="22"/>
        </w:rPr>
        <w:drawing>
          <wp:inline distT="0" distB="0" distL="0" distR="0" wp14:anchorId="77BABA33" wp14:editId="20E963FB">
            <wp:extent cx="6332220" cy="52209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32220" cy="5220970"/>
                    </a:xfrm>
                    <a:prstGeom prst="rect">
                      <a:avLst/>
                    </a:prstGeom>
                  </pic:spPr>
                </pic:pic>
              </a:graphicData>
            </a:graphic>
          </wp:inline>
        </w:drawing>
      </w:r>
    </w:p>
    <w:p w:rsidR="00FA5DE3" w:rsidRDefault="00FA5DE3" w:rsidP="00F14358">
      <w:pPr>
        <w:rPr>
          <w:rFonts w:ascii="Arial" w:hAnsi="Arial" w:cs="Arial"/>
          <w:sz w:val="20"/>
          <w:szCs w:val="22"/>
        </w:rPr>
      </w:pPr>
    </w:p>
    <w:p w:rsidR="00FA5DE3" w:rsidRDefault="00FA5DE3" w:rsidP="00F14358">
      <w:pPr>
        <w:rPr>
          <w:rFonts w:ascii="Arial" w:hAnsi="Arial" w:cs="Arial"/>
          <w:i/>
          <w:sz w:val="20"/>
          <w:szCs w:val="22"/>
        </w:rPr>
      </w:pPr>
    </w:p>
    <w:p w:rsidR="00FA5DE3" w:rsidRDefault="00FA5DE3" w:rsidP="00F14358">
      <w:pPr>
        <w:rPr>
          <w:rFonts w:ascii="Arial" w:hAnsi="Arial" w:cs="Arial"/>
          <w:i/>
          <w:sz w:val="20"/>
          <w:szCs w:val="22"/>
        </w:rPr>
      </w:pPr>
    </w:p>
    <w:p w:rsidR="00FA5DE3" w:rsidRPr="00FA5DE3" w:rsidRDefault="00FA5DE3" w:rsidP="00F14358">
      <w:pPr>
        <w:rPr>
          <w:rFonts w:ascii="Arial" w:hAnsi="Arial" w:cs="Arial"/>
          <w:i/>
          <w:sz w:val="20"/>
          <w:szCs w:val="22"/>
        </w:rPr>
      </w:pPr>
      <w:r w:rsidRPr="00FA5DE3">
        <w:rPr>
          <w:rFonts w:ascii="Arial" w:hAnsi="Arial" w:cs="Arial"/>
          <w:i/>
          <w:sz w:val="20"/>
          <w:szCs w:val="22"/>
        </w:rPr>
        <w:t>Opdateret 20.12.206</w:t>
      </w:r>
    </w:p>
    <w:p w:rsidR="00FA5DE3" w:rsidRPr="00FA5DE3" w:rsidRDefault="00FA5DE3" w:rsidP="00F14358">
      <w:pPr>
        <w:rPr>
          <w:rFonts w:ascii="Arial" w:hAnsi="Arial" w:cs="Arial"/>
          <w:i/>
          <w:sz w:val="20"/>
          <w:szCs w:val="22"/>
        </w:rPr>
      </w:pPr>
      <w:r w:rsidRPr="00FA5DE3">
        <w:rPr>
          <w:rFonts w:ascii="Arial" w:hAnsi="Arial" w:cs="Arial"/>
          <w:i/>
          <w:sz w:val="20"/>
          <w:szCs w:val="22"/>
        </w:rPr>
        <w:t>Knauf A/S</w:t>
      </w:r>
    </w:p>
    <w:sectPr w:rsidR="00FA5DE3" w:rsidRPr="00FA5DE3" w:rsidSect="00F14358">
      <w:headerReference w:type="default" r:id="rId22"/>
      <w:type w:val="continuous"/>
      <w:pgSz w:w="11907" w:h="16840" w:code="9"/>
      <w:pgMar w:top="720" w:right="720" w:bottom="720" w:left="720" w:header="567" w:footer="96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36" w:rsidRDefault="00E90236">
      <w:r>
        <w:separator/>
      </w:r>
    </w:p>
  </w:endnote>
  <w:endnote w:type="continuationSeparator" w:id="0">
    <w:p w:rsidR="00E90236" w:rsidRDefault="00E9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36" w:rsidRDefault="00E90236">
      <w:r>
        <w:separator/>
      </w:r>
    </w:p>
  </w:footnote>
  <w:footnote w:type="continuationSeparator" w:id="0">
    <w:p w:rsidR="00E90236" w:rsidRDefault="00E90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EA" w:rsidRDefault="006E55EA" w:rsidP="00FA5DE3">
    <w:pPr>
      <w:pStyle w:val="Sidehoved"/>
      <w:jc w:val="both"/>
    </w:pPr>
    <w:r>
      <w:rPr>
        <w:noProof/>
        <w:snapToGrid/>
      </w:rPr>
      <w:drawing>
        <wp:anchor distT="0" distB="0" distL="114300" distR="114300" simplePos="0" relativeHeight="251658240" behindDoc="1" locked="0" layoutInCell="1" allowOverlap="1" wp14:anchorId="60A6C857" wp14:editId="796099D4">
          <wp:simplePos x="0" y="0"/>
          <wp:positionH relativeFrom="column">
            <wp:posOffset>5605145</wp:posOffset>
          </wp:positionH>
          <wp:positionV relativeFrom="paragraph">
            <wp:posOffset>-140970</wp:posOffset>
          </wp:positionV>
          <wp:extent cx="1066800" cy="691753"/>
          <wp:effectExtent l="0" t="0" r="0" b="0"/>
          <wp:wrapNone/>
          <wp:docPr id="18" name="Billede 18" descr="Knau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u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17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44A2D"/>
    <w:multiLevelType w:val="hybridMultilevel"/>
    <w:tmpl w:val="85849D06"/>
    <w:lvl w:ilvl="0" w:tplc="E77876F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19"/>
    <w:rsid w:val="000E6FA4"/>
    <w:rsid w:val="001219BF"/>
    <w:rsid w:val="001245D9"/>
    <w:rsid w:val="001259FC"/>
    <w:rsid w:val="00155321"/>
    <w:rsid w:val="001769C4"/>
    <w:rsid w:val="001C3CF0"/>
    <w:rsid w:val="00226A40"/>
    <w:rsid w:val="00277A19"/>
    <w:rsid w:val="0029237E"/>
    <w:rsid w:val="002B53B1"/>
    <w:rsid w:val="00367F36"/>
    <w:rsid w:val="003741F2"/>
    <w:rsid w:val="003947DE"/>
    <w:rsid w:val="003A49EB"/>
    <w:rsid w:val="003F46CB"/>
    <w:rsid w:val="00417E4A"/>
    <w:rsid w:val="004240D6"/>
    <w:rsid w:val="00442A96"/>
    <w:rsid w:val="005D008D"/>
    <w:rsid w:val="00625588"/>
    <w:rsid w:val="00642C3F"/>
    <w:rsid w:val="006507E0"/>
    <w:rsid w:val="006E55EA"/>
    <w:rsid w:val="006F72C5"/>
    <w:rsid w:val="0071074F"/>
    <w:rsid w:val="0074532E"/>
    <w:rsid w:val="007B6483"/>
    <w:rsid w:val="00816E8B"/>
    <w:rsid w:val="00862FDF"/>
    <w:rsid w:val="00882816"/>
    <w:rsid w:val="008A2182"/>
    <w:rsid w:val="008B020F"/>
    <w:rsid w:val="008C39FF"/>
    <w:rsid w:val="00921880"/>
    <w:rsid w:val="00942DF2"/>
    <w:rsid w:val="00945397"/>
    <w:rsid w:val="0098019B"/>
    <w:rsid w:val="009B05AE"/>
    <w:rsid w:val="009B1502"/>
    <w:rsid w:val="009B762B"/>
    <w:rsid w:val="009E45FA"/>
    <w:rsid w:val="00A15631"/>
    <w:rsid w:val="00A24C0F"/>
    <w:rsid w:val="00A527BA"/>
    <w:rsid w:val="00A7379B"/>
    <w:rsid w:val="00A836D9"/>
    <w:rsid w:val="00A93DFE"/>
    <w:rsid w:val="00A93E25"/>
    <w:rsid w:val="00AB46DB"/>
    <w:rsid w:val="00B07AC7"/>
    <w:rsid w:val="00B53939"/>
    <w:rsid w:val="00B73785"/>
    <w:rsid w:val="00B8319F"/>
    <w:rsid w:val="00BA7492"/>
    <w:rsid w:val="00BC5558"/>
    <w:rsid w:val="00BF41C4"/>
    <w:rsid w:val="00C143E7"/>
    <w:rsid w:val="00C160D4"/>
    <w:rsid w:val="00C363F5"/>
    <w:rsid w:val="00C72C3F"/>
    <w:rsid w:val="00CB20A3"/>
    <w:rsid w:val="00CD140D"/>
    <w:rsid w:val="00CE27C0"/>
    <w:rsid w:val="00D02AB3"/>
    <w:rsid w:val="00D55BDF"/>
    <w:rsid w:val="00D60BAC"/>
    <w:rsid w:val="00D9778F"/>
    <w:rsid w:val="00DB7B2E"/>
    <w:rsid w:val="00DF6DE5"/>
    <w:rsid w:val="00E64391"/>
    <w:rsid w:val="00E90236"/>
    <w:rsid w:val="00E9706B"/>
    <w:rsid w:val="00EA056D"/>
    <w:rsid w:val="00EE08B8"/>
    <w:rsid w:val="00F14358"/>
    <w:rsid w:val="00F16EA1"/>
    <w:rsid w:val="00F532BB"/>
    <w:rsid w:val="00FA5D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3">
    <w:name w:val="heading 3"/>
    <w:basedOn w:val="Normal"/>
    <w:link w:val="Overskrift3Tegn"/>
    <w:uiPriority w:val="9"/>
    <w:qFormat/>
    <w:rsid w:val="00F14358"/>
    <w:pPr>
      <w:widowControl/>
      <w:spacing w:before="100" w:beforeAutospacing="1" w:after="100" w:afterAutospacing="1"/>
      <w:outlineLvl w:val="2"/>
    </w:pPr>
    <w:rPr>
      <w:b/>
      <w:bCs/>
      <w:snapToGrid/>
      <w:sz w:val="27"/>
      <w:szCs w:val="27"/>
    </w:rPr>
  </w:style>
  <w:style w:type="paragraph" w:styleId="Overskrift4">
    <w:name w:val="heading 4"/>
    <w:basedOn w:val="Normal"/>
    <w:next w:val="Normal"/>
    <w:link w:val="Overskrift4Tegn"/>
    <w:semiHidden/>
    <w:unhideWhenUsed/>
    <w:qFormat/>
    <w:rsid w:val="00F1435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F1435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G">
    <w:name w:val="Standardskrifttype i afsnit/ÝG"/>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G"/>
  </w:style>
  <w:style w:type="paragraph" w:customStyle="1" w:styleId="Noparagraphstyle">
    <w:name w:val="[No paragraph style]"/>
    <w:rsid w:val="001259FC"/>
    <w:pPr>
      <w:autoSpaceDE w:val="0"/>
      <w:autoSpaceDN w:val="0"/>
      <w:adjustRightInd w:val="0"/>
      <w:spacing w:line="288" w:lineRule="auto"/>
      <w:textAlignment w:val="center"/>
    </w:pPr>
    <w:rPr>
      <w:color w:val="000000"/>
      <w:sz w:val="24"/>
      <w:szCs w:val="24"/>
    </w:rPr>
  </w:style>
  <w:style w:type="paragraph" w:styleId="Markeringsbobletekst">
    <w:name w:val="Balloon Text"/>
    <w:basedOn w:val="Normal"/>
    <w:semiHidden/>
    <w:rsid w:val="00226A40"/>
    <w:rPr>
      <w:rFonts w:ascii="Tahoma" w:hAnsi="Tahoma" w:cs="Tahoma"/>
      <w:sz w:val="16"/>
      <w:szCs w:val="16"/>
    </w:rPr>
  </w:style>
  <w:style w:type="paragraph" w:styleId="Listeafsnit">
    <w:name w:val="List Paragraph"/>
    <w:basedOn w:val="Normal"/>
    <w:uiPriority w:val="34"/>
    <w:qFormat/>
    <w:rsid w:val="00C363F5"/>
    <w:pPr>
      <w:widowControl/>
      <w:ind w:left="720"/>
      <w:contextualSpacing/>
    </w:pPr>
    <w:rPr>
      <w:snapToGrid/>
      <w:szCs w:val="24"/>
    </w:rPr>
  </w:style>
  <w:style w:type="character" w:customStyle="1" w:styleId="Overskrift3Tegn">
    <w:name w:val="Overskrift 3 Tegn"/>
    <w:basedOn w:val="Standardskrifttypeiafsnit"/>
    <w:link w:val="Overskrift3"/>
    <w:uiPriority w:val="9"/>
    <w:rsid w:val="00F14358"/>
    <w:rPr>
      <w:b/>
      <w:bCs/>
      <w:sz w:val="27"/>
      <w:szCs w:val="27"/>
    </w:rPr>
  </w:style>
  <w:style w:type="character" w:styleId="Hyperlink">
    <w:name w:val="Hyperlink"/>
    <w:basedOn w:val="Standardskrifttypeiafsnit"/>
    <w:uiPriority w:val="99"/>
    <w:unhideWhenUsed/>
    <w:rsid w:val="00F14358"/>
    <w:rPr>
      <w:color w:val="0000FF"/>
      <w:u w:val="single"/>
    </w:rPr>
  </w:style>
  <w:style w:type="paragraph" w:styleId="NormalWeb">
    <w:name w:val="Normal (Web)"/>
    <w:basedOn w:val="Normal"/>
    <w:uiPriority w:val="99"/>
    <w:unhideWhenUsed/>
    <w:rsid w:val="00F14358"/>
    <w:pPr>
      <w:widowControl/>
      <w:spacing w:before="100" w:beforeAutospacing="1" w:after="100" w:afterAutospacing="1"/>
    </w:pPr>
    <w:rPr>
      <w:snapToGrid/>
      <w:szCs w:val="24"/>
    </w:rPr>
  </w:style>
  <w:style w:type="character" w:styleId="Strk">
    <w:name w:val="Strong"/>
    <w:basedOn w:val="Standardskrifttypeiafsnit"/>
    <w:uiPriority w:val="22"/>
    <w:qFormat/>
    <w:rsid w:val="00F14358"/>
    <w:rPr>
      <w:b/>
      <w:bCs/>
    </w:rPr>
  </w:style>
  <w:style w:type="character" w:customStyle="1" w:styleId="Overskrift4Tegn">
    <w:name w:val="Overskrift 4 Tegn"/>
    <w:basedOn w:val="Standardskrifttypeiafsnit"/>
    <w:link w:val="Overskrift4"/>
    <w:semiHidden/>
    <w:rsid w:val="00F14358"/>
    <w:rPr>
      <w:rFonts w:asciiTheme="majorHAnsi" w:eastAsiaTheme="majorEastAsia" w:hAnsiTheme="majorHAnsi" w:cstheme="majorBidi"/>
      <w:b/>
      <w:bCs/>
      <w:i/>
      <w:iCs/>
      <w:snapToGrid w:val="0"/>
      <w:color w:val="4F81BD" w:themeColor="accent1"/>
      <w:sz w:val="24"/>
    </w:rPr>
  </w:style>
  <w:style w:type="character" w:customStyle="1" w:styleId="Overskrift5Tegn">
    <w:name w:val="Overskrift 5 Tegn"/>
    <w:basedOn w:val="Standardskrifttypeiafsnit"/>
    <w:link w:val="Overskrift5"/>
    <w:semiHidden/>
    <w:rsid w:val="00F14358"/>
    <w:rPr>
      <w:rFonts w:asciiTheme="majorHAnsi" w:eastAsiaTheme="majorEastAsia" w:hAnsiTheme="majorHAnsi" w:cstheme="majorBidi"/>
      <w:snapToGrid w:val="0"/>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3">
    <w:name w:val="heading 3"/>
    <w:basedOn w:val="Normal"/>
    <w:link w:val="Overskrift3Tegn"/>
    <w:uiPriority w:val="9"/>
    <w:qFormat/>
    <w:rsid w:val="00F14358"/>
    <w:pPr>
      <w:widowControl/>
      <w:spacing w:before="100" w:beforeAutospacing="1" w:after="100" w:afterAutospacing="1"/>
      <w:outlineLvl w:val="2"/>
    </w:pPr>
    <w:rPr>
      <w:b/>
      <w:bCs/>
      <w:snapToGrid/>
      <w:sz w:val="27"/>
      <w:szCs w:val="27"/>
    </w:rPr>
  </w:style>
  <w:style w:type="paragraph" w:styleId="Overskrift4">
    <w:name w:val="heading 4"/>
    <w:basedOn w:val="Normal"/>
    <w:next w:val="Normal"/>
    <w:link w:val="Overskrift4Tegn"/>
    <w:semiHidden/>
    <w:unhideWhenUsed/>
    <w:qFormat/>
    <w:rsid w:val="00F1435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F1435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G">
    <w:name w:val="Standardskrifttype i afsnit/ÝG"/>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G"/>
  </w:style>
  <w:style w:type="paragraph" w:customStyle="1" w:styleId="Noparagraphstyle">
    <w:name w:val="[No paragraph style]"/>
    <w:rsid w:val="001259FC"/>
    <w:pPr>
      <w:autoSpaceDE w:val="0"/>
      <w:autoSpaceDN w:val="0"/>
      <w:adjustRightInd w:val="0"/>
      <w:spacing w:line="288" w:lineRule="auto"/>
      <w:textAlignment w:val="center"/>
    </w:pPr>
    <w:rPr>
      <w:color w:val="000000"/>
      <w:sz w:val="24"/>
      <w:szCs w:val="24"/>
    </w:rPr>
  </w:style>
  <w:style w:type="paragraph" w:styleId="Markeringsbobletekst">
    <w:name w:val="Balloon Text"/>
    <w:basedOn w:val="Normal"/>
    <w:semiHidden/>
    <w:rsid w:val="00226A40"/>
    <w:rPr>
      <w:rFonts w:ascii="Tahoma" w:hAnsi="Tahoma" w:cs="Tahoma"/>
      <w:sz w:val="16"/>
      <w:szCs w:val="16"/>
    </w:rPr>
  </w:style>
  <w:style w:type="paragraph" w:styleId="Listeafsnit">
    <w:name w:val="List Paragraph"/>
    <w:basedOn w:val="Normal"/>
    <w:uiPriority w:val="34"/>
    <w:qFormat/>
    <w:rsid w:val="00C363F5"/>
    <w:pPr>
      <w:widowControl/>
      <w:ind w:left="720"/>
      <w:contextualSpacing/>
    </w:pPr>
    <w:rPr>
      <w:snapToGrid/>
      <w:szCs w:val="24"/>
    </w:rPr>
  </w:style>
  <w:style w:type="character" w:customStyle="1" w:styleId="Overskrift3Tegn">
    <w:name w:val="Overskrift 3 Tegn"/>
    <w:basedOn w:val="Standardskrifttypeiafsnit"/>
    <w:link w:val="Overskrift3"/>
    <w:uiPriority w:val="9"/>
    <w:rsid w:val="00F14358"/>
    <w:rPr>
      <w:b/>
      <w:bCs/>
      <w:sz w:val="27"/>
      <w:szCs w:val="27"/>
    </w:rPr>
  </w:style>
  <w:style w:type="character" w:styleId="Hyperlink">
    <w:name w:val="Hyperlink"/>
    <w:basedOn w:val="Standardskrifttypeiafsnit"/>
    <w:uiPriority w:val="99"/>
    <w:unhideWhenUsed/>
    <w:rsid w:val="00F14358"/>
    <w:rPr>
      <w:color w:val="0000FF"/>
      <w:u w:val="single"/>
    </w:rPr>
  </w:style>
  <w:style w:type="paragraph" w:styleId="NormalWeb">
    <w:name w:val="Normal (Web)"/>
    <w:basedOn w:val="Normal"/>
    <w:uiPriority w:val="99"/>
    <w:unhideWhenUsed/>
    <w:rsid w:val="00F14358"/>
    <w:pPr>
      <w:widowControl/>
      <w:spacing w:before="100" w:beforeAutospacing="1" w:after="100" w:afterAutospacing="1"/>
    </w:pPr>
    <w:rPr>
      <w:snapToGrid/>
      <w:szCs w:val="24"/>
    </w:rPr>
  </w:style>
  <w:style w:type="character" w:styleId="Strk">
    <w:name w:val="Strong"/>
    <w:basedOn w:val="Standardskrifttypeiafsnit"/>
    <w:uiPriority w:val="22"/>
    <w:qFormat/>
    <w:rsid w:val="00F14358"/>
    <w:rPr>
      <w:b/>
      <w:bCs/>
    </w:rPr>
  </w:style>
  <w:style w:type="character" w:customStyle="1" w:styleId="Overskrift4Tegn">
    <w:name w:val="Overskrift 4 Tegn"/>
    <w:basedOn w:val="Standardskrifttypeiafsnit"/>
    <w:link w:val="Overskrift4"/>
    <w:semiHidden/>
    <w:rsid w:val="00F14358"/>
    <w:rPr>
      <w:rFonts w:asciiTheme="majorHAnsi" w:eastAsiaTheme="majorEastAsia" w:hAnsiTheme="majorHAnsi" w:cstheme="majorBidi"/>
      <w:b/>
      <w:bCs/>
      <w:i/>
      <w:iCs/>
      <w:snapToGrid w:val="0"/>
      <w:color w:val="4F81BD" w:themeColor="accent1"/>
      <w:sz w:val="24"/>
    </w:rPr>
  </w:style>
  <w:style w:type="character" w:customStyle="1" w:styleId="Overskrift5Tegn">
    <w:name w:val="Overskrift 5 Tegn"/>
    <w:basedOn w:val="Standardskrifttypeiafsnit"/>
    <w:link w:val="Overskrift5"/>
    <w:semiHidden/>
    <w:rsid w:val="00F14358"/>
    <w:rPr>
      <w:rFonts w:asciiTheme="majorHAnsi" w:eastAsiaTheme="majorEastAsia" w:hAnsiTheme="majorHAnsi" w:cstheme="majorBidi"/>
      <w:snapToGrid w:val="0"/>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96542">
      <w:bodyDiv w:val="1"/>
      <w:marLeft w:val="0"/>
      <w:marRight w:val="0"/>
      <w:marTop w:val="0"/>
      <w:marBottom w:val="0"/>
      <w:divBdr>
        <w:top w:val="none" w:sz="0" w:space="0" w:color="auto"/>
        <w:left w:val="none" w:sz="0" w:space="0" w:color="auto"/>
        <w:bottom w:val="none" w:sz="0" w:space="0" w:color="auto"/>
        <w:right w:val="none" w:sz="0" w:space="0" w:color="auto"/>
      </w:divBdr>
    </w:div>
    <w:div w:id="815151100">
      <w:bodyDiv w:val="1"/>
      <w:marLeft w:val="0"/>
      <w:marRight w:val="0"/>
      <w:marTop w:val="0"/>
      <w:marBottom w:val="0"/>
      <w:divBdr>
        <w:top w:val="none" w:sz="0" w:space="0" w:color="auto"/>
        <w:left w:val="none" w:sz="0" w:space="0" w:color="auto"/>
        <w:bottom w:val="none" w:sz="0" w:space="0" w:color="auto"/>
        <w:right w:val="none" w:sz="0" w:space="0" w:color="auto"/>
      </w:divBdr>
      <w:divsChild>
        <w:div w:id="6293045">
          <w:marLeft w:val="0"/>
          <w:marRight w:val="0"/>
          <w:marTop w:val="0"/>
          <w:marBottom w:val="0"/>
          <w:divBdr>
            <w:top w:val="none" w:sz="0" w:space="0" w:color="auto"/>
            <w:left w:val="none" w:sz="0" w:space="0" w:color="auto"/>
            <w:bottom w:val="none" w:sz="0" w:space="0" w:color="auto"/>
            <w:right w:val="none" w:sz="0" w:space="0" w:color="auto"/>
          </w:divBdr>
          <w:divsChild>
            <w:div w:id="912155201">
              <w:marLeft w:val="0"/>
              <w:marRight w:val="0"/>
              <w:marTop w:val="0"/>
              <w:marBottom w:val="0"/>
              <w:divBdr>
                <w:top w:val="none" w:sz="0" w:space="0" w:color="auto"/>
                <w:left w:val="none" w:sz="0" w:space="0" w:color="auto"/>
                <w:bottom w:val="none" w:sz="0" w:space="0" w:color="auto"/>
                <w:right w:val="none" w:sz="0" w:space="0" w:color="auto"/>
              </w:divBdr>
              <w:divsChild>
                <w:div w:id="1594975257">
                  <w:marLeft w:val="0"/>
                  <w:marRight w:val="0"/>
                  <w:marTop w:val="0"/>
                  <w:marBottom w:val="0"/>
                  <w:divBdr>
                    <w:top w:val="none" w:sz="0" w:space="0" w:color="auto"/>
                    <w:left w:val="none" w:sz="0" w:space="0" w:color="auto"/>
                    <w:bottom w:val="none" w:sz="0" w:space="0" w:color="auto"/>
                    <w:right w:val="none" w:sz="0" w:space="0" w:color="auto"/>
                  </w:divBdr>
                  <w:divsChild>
                    <w:div w:id="6803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8560">
      <w:bodyDiv w:val="1"/>
      <w:marLeft w:val="0"/>
      <w:marRight w:val="0"/>
      <w:marTop w:val="0"/>
      <w:marBottom w:val="0"/>
      <w:divBdr>
        <w:top w:val="none" w:sz="0" w:space="0" w:color="auto"/>
        <w:left w:val="none" w:sz="0" w:space="0" w:color="auto"/>
        <w:bottom w:val="none" w:sz="0" w:space="0" w:color="auto"/>
        <w:right w:val="none" w:sz="0" w:space="0" w:color="auto"/>
      </w:divBdr>
    </w:div>
    <w:div w:id="1327395710">
      <w:bodyDiv w:val="1"/>
      <w:marLeft w:val="0"/>
      <w:marRight w:val="0"/>
      <w:marTop w:val="0"/>
      <w:marBottom w:val="0"/>
      <w:divBdr>
        <w:top w:val="none" w:sz="0" w:space="0" w:color="auto"/>
        <w:left w:val="none" w:sz="0" w:space="0" w:color="auto"/>
        <w:bottom w:val="none" w:sz="0" w:space="0" w:color="auto"/>
        <w:right w:val="none" w:sz="0" w:space="0" w:color="auto"/>
      </w:divBdr>
      <w:divsChild>
        <w:div w:id="1038314315">
          <w:marLeft w:val="0"/>
          <w:marRight w:val="0"/>
          <w:marTop w:val="0"/>
          <w:marBottom w:val="0"/>
          <w:divBdr>
            <w:top w:val="none" w:sz="0" w:space="0" w:color="auto"/>
            <w:left w:val="none" w:sz="0" w:space="0" w:color="auto"/>
            <w:bottom w:val="none" w:sz="0" w:space="0" w:color="auto"/>
            <w:right w:val="none" w:sz="0" w:space="0" w:color="auto"/>
          </w:divBdr>
          <w:divsChild>
            <w:div w:id="1479804369">
              <w:marLeft w:val="0"/>
              <w:marRight w:val="0"/>
              <w:marTop w:val="0"/>
              <w:marBottom w:val="0"/>
              <w:divBdr>
                <w:top w:val="none" w:sz="0" w:space="0" w:color="auto"/>
                <w:left w:val="none" w:sz="0" w:space="0" w:color="auto"/>
                <w:bottom w:val="none" w:sz="0" w:space="0" w:color="auto"/>
                <w:right w:val="none" w:sz="0" w:space="0" w:color="auto"/>
              </w:divBdr>
              <w:divsChild>
                <w:div w:id="9620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6659">
      <w:bodyDiv w:val="1"/>
      <w:marLeft w:val="0"/>
      <w:marRight w:val="0"/>
      <w:marTop w:val="0"/>
      <w:marBottom w:val="0"/>
      <w:divBdr>
        <w:top w:val="none" w:sz="0" w:space="0" w:color="auto"/>
        <w:left w:val="none" w:sz="0" w:space="0" w:color="auto"/>
        <w:bottom w:val="none" w:sz="0" w:space="0" w:color="auto"/>
        <w:right w:val="none" w:sz="0" w:space="0" w:color="auto"/>
      </w:divBdr>
      <w:divsChild>
        <w:div w:id="570430034">
          <w:marLeft w:val="0"/>
          <w:marRight w:val="0"/>
          <w:marTop w:val="0"/>
          <w:marBottom w:val="0"/>
          <w:divBdr>
            <w:top w:val="none" w:sz="0" w:space="0" w:color="auto"/>
            <w:left w:val="none" w:sz="0" w:space="0" w:color="auto"/>
            <w:bottom w:val="none" w:sz="0" w:space="0" w:color="auto"/>
            <w:right w:val="none" w:sz="0" w:space="0" w:color="auto"/>
          </w:divBdr>
          <w:divsChild>
            <w:div w:id="1208227762">
              <w:marLeft w:val="0"/>
              <w:marRight w:val="0"/>
              <w:marTop w:val="0"/>
              <w:marBottom w:val="0"/>
              <w:divBdr>
                <w:top w:val="none" w:sz="0" w:space="0" w:color="auto"/>
                <w:left w:val="none" w:sz="0" w:space="0" w:color="auto"/>
                <w:bottom w:val="none" w:sz="0" w:space="0" w:color="auto"/>
                <w:right w:val="none" w:sz="0" w:space="0" w:color="auto"/>
              </w:divBdr>
              <w:divsChild>
                <w:div w:id="423502902">
                  <w:marLeft w:val="0"/>
                  <w:marRight w:val="0"/>
                  <w:marTop w:val="0"/>
                  <w:marBottom w:val="0"/>
                  <w:divBdr>
                    <w:top w:val="none" w:sz="0" w:space="0" w:color="auto"/>
                    <w:left w:val="none" w:sz="0" w:space="0" w:color="auto"/>
                    <w:bottom w:val="none" w:sz="0" w:space="0" w:color="auto"/>
                    <w:right w:val="none" w:sz="0" w:space="0" w:color="auto"/>
                  </w:divBdr>
                  <w:divsChild>
                    <w:div w:id="9529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16357">
      <w:bodyDiv w:val="1"/>
      <w:marLeft w:val="0"/>
      <w:marRight w:val="0"/>
      <w:marTop w:val="0"/>
      <w:marBottom w:val="0"/>
      <w:divBdr>
        <w:top w:val="none" w:sz="0" w:space="0" w:color="auto"/>
        <w:left w:val="none" w:sz="0" w:space="0" w:color="auto"/>
        <w:bottom w:val="none" w:sz="0" w:space="0" w:color="auto"/>
        <w:right w:val="none" w:sz="0" w:space="0" w:color="auto"/>
      </w:divBdr>
      <w:divsChild>
        <w:div w:id="1943101119">
          <w:marLeft w:val="0"/>
          <w:marRight w:val="0"/>
          <w:marTop w:val="0"/>
          <w:marBottom w:val="0"/>
          <w:divBdr>
            <w:top w:val="none" w:sz="0" w:space="0" w:color="auto"/>
            <w:left w:val="none" w:sz="0" w:space="0" w:color="auto"/>
            <w:bottom w:val="none" w:sz="0" w:space="0" w:color="auto"/>
            <w:right w:val="none" w:sz="0" w:space="0" w:color="auto"/>
          </w:divBdr>
          <w:divsChild>
            <w:div w:id="815412064">
              <w:marLeft w:val="0"/>
              <w:marRight w:val="0"/>
              <w:marTop w:val="0"/>
              <w:marBottom w:val="0"/>
              <w:divBdr>
                <w:top w:val="none" w:sz="0" w:space="0" w:color="auto"/>
                <w:left w:val="none" w:sz="0" w:space="0" w:color="auto"/>
                <w:bottom w:val="none" w:sz="0" w:space="0" w:color="auto"/>
                <w:right w:val="none" w:sz="0" w:space="0" w:color="auto"/>
              </w:divBdr>
              <w:divsChild>
                <w:div w:id="9818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teknologisk.dk/mbk"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teknologisk.dk/mbk" TargetMode="Externa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v\Lokale%20indstillinger\Temporary%20Internet%20Files\OLK1A\Standardbrev%20Hobr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6458-D528-47BE-B2CE-3748A6D5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Standardbrev Hobro.dot</Template>
  <TotalTime>0</TotalTime>
  <Pages>3</Pages>
  <Words>545</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#firmanavn#</vt:lpstr>
    </vt:vector>
  </TitlesOfParts>
  <Company>Danogips A/S</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#firmanavn#</dc:title>
  <dc:creator>hsv</dc:creator>
  <cp:lastModifiedBy>BisgaardB</cp:lastModifiedBy>
  <cp:revision>2</cp:revision>
  <cp:lastPrinted>2013-01-31T09:00:00Z</cp:lastPrinted>
  <dcterms:created xsi:type="dcterms:W3CDTF">2019-08-15T10:24:00Z</dcterms:created>
  <dcterms:modified xsi:type="dcterms:W3CDTF">2019-08-15T10:24:00Z</dcterms:modified>
</cp:coreProperties>
</file>